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2023年-2024年危险废物污染环境防治信息公开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根据《中华人民共和国固体废物污染环境防治法》的要求,产生危险废物的单位,应当依法及时公开固体废物污染环境信息,主动接受社会监督,结合我单位实际情况,现将2023年-2024年危险废物污染环境防治信息公开如下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56"/>
        <w:gridCol w:w="1188"/>
        <w:gridCol w:w="1404"/>
        <w:gridCol w:w="2100"/>
        <w:gridCol w:w="984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6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56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废物名称</w:t>
            </w:r>
          </w:p>
        </w:tc>
        <w:tc>
          <w:tcPr>
            <w:tcW w:w="1188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废物形态</w:t>
            </w:r>
          </w:p>
        </w:tc>
        <w:tc>
          <w:tcPr>
            <w:tcW w:w="1404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废物代码</w:t>
            </w:r>
          </w:p>
        </w:tc>
        <w:tc>
          <w:tcPr>
            <w:tcW w:w="210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有害成份名称</w:t>
            </w:r>
          </w:p>
        </w:tc>
        <w:tc>
          <w:tcPr>
            <w:tcW w:w="984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重量（吨）</w:t>
            </w:r>
          </w:p>
        </w:tc>
        <w:tc>
          <w:tcPr>
            <w:tcW w:w="2758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委托处置单位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废机油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L液态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苯、酚、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0.5141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废过滤棉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S固态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VOC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0.0234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S固态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苯系物粉尘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0.9715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废漆渣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S固态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900-250-12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苯系物，废漆渣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0.03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废油桶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L液态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苯系物，还含有重金属铅、镉、汞等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0.02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废乳化液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L液态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900-006-09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油/水、烃/水混合物或乳化液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1.155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废粉末滤芯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S固态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900-251-12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苯系物，废粉末滤芯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0.03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废油漆桶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S固态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苯系物，废油漆桶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0.074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vAlign w:val="center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2.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818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一</w:t>
      </w:r>
      <w:r>
        <w:rPr>
          <w:rFonts w:hint="eastAsia"/>
          <w:b/>
          <w:bCs/>
          <w:sz w:val="24"/>
          <w:szCs w:val="32"/>
        </w:rPr>
        <w:t>、污染防治措施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1.应按危险废物管理要求,委托具有危险废物经营许可单位进行处置,每年前向生态环境局申报本单位年度危险废物管理计划。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2.危险废物转移前,向生态环境局申请,转移联单存档。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3.严格按照与经营单位合同内进行转移,出库时并确认包装完好与实际重量。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二、应急处置措施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1.危险废物发生泄露时,第一发现人立即向单位领导报告,马上通知危险废物仓库管理人员和安全员,第</w:t>
      </w:r>
      <w:r>
        <w:rPr>
          <w:rFonts w:hint="eastAsia"/>
          <w:sz w:val="24"/>
          <w:szCs w:val="32"/>
          <w:lang w:eastAsia="zh-CN"/>
        </w:rPr>
        <w:t>一</w:t>
      </w:r>
      <w:r>
        <w:rPr>
          <w:rFonts w:hint="eastAsia"/>
          <w:sz w:val="24"/>
          <w:szCs w:val="32"/>
        </w:rPr>
        <w:t>时间采取有效方式进行应急处置工作，防止污染扩大。若有人员受伤,应及时送医救治。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2.现场处置人员应穿戴好防护服装,防毒面具等防护用品,严格按照突发环境风险应急预案进行处置。</w:t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  <w:lang w:eastAsia="zh-CN"/>
        </w:rPr>
      </w:pPr>
    </w:p>
    <w:p>
      <w:pPr>
        <w:ind w:firstLine="6900" w:firstLineChars="28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山东汇金股份</w:t>
      </w:r>
      <w:r>
        <w:rPr>
          <w:rFonts w:hint="eastAsia"/>
          <w:sz w:val="24"/>
          <w:szCs w:val="32"/>
        </w:rPr>
        <w:t>有限公司</w:t>
      </w:r>
    </w:p>
    <w:p>
      <w:pPr>
        <w:ind w:firstLine="6938" w:firstLineChars="2478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01</w:t>
      </w:r>
      <w:bookmarkStart w:id="0" w:name="_GoBack"/>
      <w:bookmarkEnd w:id="0"/>
      <w:r>
        <w:rPr>
          <w:rFonts w:hint="eastAsia"/>
          <w:sz w:val="28"/>
          <w:szCs w:val="36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61294"/>
    <w:rsid w:val="07396635"/>
    <w:rsid w:val="6C861294"/>
    <w:rsid w:val="7D5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2024-12-07T01:14:00Z</dcterms:created>
  <dc:creator>Administrator</dc:creator>
  <cp:lastModifiedBy>Administrator</cp:lastModifiedBy>
  <dcterms:modified xsi:type="dcterms:W3CDTF">2024-12-07T02:08:44Z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103F9A3B1ED04953AC6F569F71BB896C</vt:lpwstr>
  </property>
</Properties>
</file>